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0228" w14:textId="77777777" w:rsidR="00167BC7" w:rsidRPr="00D0613C" w:rsidRDefault="008419A9" w:rsidP="00373DFA">
      <w:pPr>
        <w:jc w:val="both"/>
        <w:rPr>
          <w:rFonts w:ascii="Garamond" w:hAnsi="Garamond" w:cs="Arial"/>
          <w:b/>
        </w:rPr>
      </w:pPr>
      <w:r w:rsidRPr="00D0613C">
        <w:rPr>
          <w:rFonts w:ascii="Garamond" w:hAnsi="Garamond" w:cs="Arial"/>
          <w:b/>
        </w:rPr>
        <w:t>JOB DESCRIPTION</w:t>
      </w:r>
    </w:p>
    <w:p w14:paraId="35F1B297" w14:textId="77777777" w:rsidR="008419A9" w:rsidRPr="00D0613C" w:rsidRDefault="008419A9" w:rsidP="00373DFA">
      <w:pPr>
        <w:jc w:val="both"/>
        <w:rPr>
          <w:rFonts w:ascii="Garamond" w:hAnsi="Garamond" w:cs="Arial"/>
          <w:b/>
        </w:rPr>
      </w:pPr>
    </w:p>
    <w:p w14:paraId="53BA5952" w14:textId="77777777" w:rsidR="00371FF1" w:rsidRPr="00D0613C" w:rsidRDefault="00371FF1" w:rsidP="00373DFA">
      <w:pPr>
        <w:jc w:val="both"/>
        <w:rPr>
          <w:rFonts w:ascii="Garamond" w:hAnsi="Garamond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6261"/>
      </w:tblGrid>
      <w:tr w:rsidR="008419A9" w:rsidRPr="00D0613C" w14:paraId="7BF388D8" w14:textId="77777777" w:rsidTr="008419A9">
        <w:tc>
          <w:tcPr>
            <w:tcW w:w="2802" w:type="dxa"/>
          </w:tcPr>
          <w:p w14:paraId="2F01708A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606903">
              <w:rPr>
                <w:rFonts w:ascii="Garamond" w:hAnsi="Garamond" w:cs="Arial"/>
                <w:b/>
              </w:rPr>
              <w:t>Job Title:</w:t>
            </w:r>
          </w:p>
          <w:p w14:paraId="65471820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6440" w:type="dxa"/>
          </w:tcPr>
          <w:p w14:paraId="73757417" w14:textId="3E48F666" w:rsidR="008419A9" w:rsidRPr="00606903" w:rsidRDefault="004E2EB0" w:rsidP="00373DF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Head of Finance</w:t>
            </w:r>
          </w:p>
        </w:tc>
      </w:tr>
      <w:tr w:rsidR="008419A9" w:rsidRPr="00D0613C" w14:paraId="067237D0" w14:textId="77777777" w:rsidTr="008419A9">
        <w:tc>
          <w:tcPr>
            <w:tcW w:w="2802" w:type="dxa"/>
          </w:tcPr>
          <w:p w14:paraId="48D5B54A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606903">
              <w:rPr>
                <w:rFonts w:ascii="Garamond" w:hAnsi="Garamond" w:cs="Arial"/>
                <w:b/>
              </w:rPr>
              <w:t>Team:</w:t>
            </w:r>
          </w:p>
          <w:p w14:paraId="4998A43C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6440" w:type="dxa"/>
          </w:tcPr>
          <w:p w14:paraId="7FE16F27" w14:textId="78781294" w:rsidR="008419A9" w:rsidRPr="00606903" w:rsidRDefault="004E2EB0" w:rsidP="00373DF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Finance</w:t>
            </w:r>
          </w:p>
        </w:tc>
      </w:tr>
      <w:tr w:rsidR="008419A9" w:rsidRPr="00D0613C" w14:paraId="25F4E7B7" w14:textId="77777777" w:rsidTr="008419A9">
        <w:tc>
          <w:tcPr>
            <w:tcW w:w="2802" w:type="dxa"/>
          </w:tcPr>
          <w:p w14:paraId="66D3D7CA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606903">
              <w:rPr>
                <w:rFonts w:ascii="Garamond" w:hAnsi="Garamond" w:cs="Arial"/>
                <w:b/>
              </w:rPr>
              <w:t>Location:</w:t>
            </w:r>
          </w:p>
          <w:p w14:paraId="680A472F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6440" w:type="dxa"/>
          </w:tcPr>
          <w:p w14:paraId="6D59B801" w14:textId="4A3C20FF" w:rsidR="008419A9" w:rsidRPr="00606903" w:rsidRDefault="004E2EB0" w:rsidP="00373DF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Royal Chantry Offices</w:t>
            </w:r>
          </w:p>
        </w:tc>
      </w:tr>
      <w:tr w:rsidR="008419A9" w:rsidRPr="00D0613C" w14:paraId="035C82F1" w14:textId="77777777" w:rsidTr="008419A9">
        <w:tc>
          <w:tcPr>
            <w:tcW w:w="2802" w:type="dxa"/>
          </w:tcPr>
          <w:p w14:paraId="3F6A19F1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606903">
              <w:rPr>
                <w:rFonts w:ascii="Garamond" w:hAnsi="Garamond" w:cs="Arial"/>
                <w:b/>
              </w:rPr>
              <w:t>Line Manager;</w:t>
            </w:r>
          </w:p>
          <w:p w14:paraId="647210CF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6440" w:type="dxa"/>
          </w:tcPr>
          <w:p w14:paraId="06FBC260" w14:textId="3416E13A" w:rsidR="008419A9" w:rsidRPr="00606903" w:rsidRDefault="004E2EB0" w:rsidP="00373DF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Executive Director</w:t>
            </w:r>
          </w:p>
        </w:tc>
      </w:tr>
      <w:tr w:rsidR="009E3736" w:rsidRPr="00D0613C" w14:paraId="22C3C720" w14:textId="77777777" w:rsidTr="008419A9">
        <w:tc>
          <w:tcPr>
            <w:tcW w:w="2802" w:type="dxa"/>
          </w:tcPr>
          <w:p w14:paraId="0F181585" w14:textId="77777777" w:rsidR="009E3736" w:rsidRPr="00606903" w:rsidRDefault="009E3736" w:rsidP="00373DFA">
            <w:pPr>
              <w:jc w:val="both"/>
              <w:rPr>
                <w:rFonts w:ascii="Garamond" w:hAnsi="Garamond" w:cs="Arial"/>
                <w:b/>
              </w:rPr>
            </w:pPr>
            <w:r w:rsidRPr="00606903">
              <w:rPr>
                <w:rFonts w:ascii="Garamond" w:hAnsi="Garamond" w:cs="Arial"/>
                <w:b/>
              </w:rPr>
              <w:t>Matrix reporting line:</w:t>
            </w:r>
          </w:p>
          <w:p w14:paraId="29FE4B1C" w14:textId="77777777" w:rsidR="009E3736" w:rsidRPr="00606903" w:rsidRDefault="009E3736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6440" w:type="dxa"/>
          </w:tcPr>
          <w:p w14:paraId="1B944911" w14:textId="20E91884" w:rsidR="009E3736" w:rsidRPr="00606903" w:rsidRDefault="004E2EB0" w:rsidP="00373DF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Dean</w:t>
            </w:r>
          </w:p>
        </w:tc>
      </w:tr>
      <w:tr w:rsidR="008419A9" w:rsidRPr="00D0613C" w14:paraId="3162CF37" w14:textId="77777777" w:rsidTr="008419A9">
        <w:tc>
          <w:tcPr>
            <w:tcW w:w="2802" w:type="dxa"/>
          </w:tcPr>
          <w:p w14:paraId="4BBAE812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606903">
              <w:rPr>
                <w:rFonts w:ascii="Garamond" w:hAnsi="Garamond" w:cs="Arial"/>
                <w:b/>
              </w:rPr>
              <w:t>Contract type:</w:t>
            </w:r>
          </w:p>
          <w:p w14:paraId="5C65E563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6440" w:type="dxa"/>
          </w:tcPr>
          <w:p w14:paraId="4C1DE18E" w14:textId="3A3B7DC3" w:rsidR="008419A9" w:rsidRPr="00606903" w:rsidRDefault="004E2EB0" w:rsidP="00373DF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Permanent</w:t>
            </w:r>
          </w:p>
        </w:tc>
      </w:tr>
      <w:tr w:rsidR="008419A9" w:rsidRPr="00D0613C" w14:paraId="1E1F6605" w14:textId="77777777" w:rsidTr="008419A9">
        <w:tc>
          <w:tcPr>
            <w:tcW w:w="2802" w:type="dxa"/>
          </w:tcPr>
          <w:p w14:paraId="233ADDE9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606903">
              <w:rPr>
                <w:rFonts w:ascii="Garamond" w:hAnsi="Garamond" w:cs="Arial"/>
                <w:b/>
              </w:rPr>
              <w:t>Hours:</w:t>
            </w:r>
          </w:p>
          <w:p w14:paraId="245FF18A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6440" w:type="dxa"/>
          </w:tcPr>
          <w:p w14:paraId="0FC1EFF6" w14:textId="161F0F8E" w:rsidR="008419A9" w:rsidRPr="00606903" w:rsidRDefault="004E2EB0" w:rsidP="00373DF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Full time though part time could be considered</w:t>
            </w:r>
          </w:p>
        </w:tc>
      </w:tr>
      <w:tr w:rsidR="008419A9" w:rsidRPr="00D0613C" w14:paraId="40591FBE" w14:textId="77777777" w:rsidTr="008419A9">
        <w:tc>
          <w:tcPr>
            <w:tcW w:w="2802" w:type="dxa"/>
          </w:tcPr>
          <w:p w14:paraId="35998364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606903">
              <w:rPr>
                <w:rFonts w:ascii="Garamond" w:hAnsi="Garamond" w:cs="Arial"/>
                <w:b/>
              </w:rPr>
              <w:t>Date of completion:</w:t>
            </w:r>
          </w:p>
          <w:p w14:paraId="5D52684C" w14:textId="77777777" w:rsidR="008419A9" w:rsidRPr="00606903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6440" w:type="dxa"/>
          </w:tcPr>
          <w:p w14:paraId="3D7804B3" w14:textId="4698BA19" w:rsidR="008419A9" w:rsidRPr="00606903" w:rsidRDefault="004E2EB0" w:rsidP="00373DF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March 2021</w:t>
            </w:r>
          </w:p>
        </w:tc>
      </w:tr>
    </w:tbl>
    <w:p w14:paraId="36239843" w14:textId="77777777" w:rsidR="008419A9" w:rsidRPr="00D0613C" w:rsidRDefault="008419A9" w:rsidP="00373DFA">
      <w:pPr>
        <w:jc w:val="both"/>
        <w:rPr>
          <w:rFonts w:ascii="Garamond" w:hAnsi="Garamond" w:cs="Arial"/>
          <w:b/>
        </w:rPr>
      </w:pPr>
    </w:p>
    <w:p w14:paraId="15D4DD79" w14:textId="77777777" w:rsidR="008421E3" w:rsidRPr="00D0613C" w:rsidRDefault="008421E3" w:rsidP="00373DFA">
      <w:pPr>
        <w:spacing w:after="200" w:line="276" w:lineRule="auto"/>
        <w:jc w:val="both"/>
        <w:rPr>
          <w:rFonts w:ascii="Garamond" w:hAnsi="Garamond" w:cs="Arial"/>
          <w:color w:val="FF0000"/>
        </w:rPr>
      </w:pPr>
    </w:p>
    <w:p w14:paraId="4D01FEC6" w14:textId="77777777" w:rsidR="00606903" w:rsidRPr="00B47284" w:rsidRDefault="00606903" w:rsidP="00373DFA">
      <w:pPr>
        <w:jc w:val="both"/>
        <w:rPr>
          <w:rFonts w:ascii="Garamond" w:hAnsi="Garamond" w:cs="Arial"/>
        </w:rPr>
      </w:pPr>
    </w:p>
    <w:p w14:paraId="224128ED" w14:textId="74027CDB" w:rsidR="00D516CF" w:rsidRDefault="00D516CF" w:rsidP="00373DFA">
      <w:pPr>
        <w:spacing w:after="200"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1E7CDC7D" w14:textId="77777777" w:rsidR="008419A9" w:rsidRPr="00D0613C" w:rsidRDefault="008419A9" w:rsidP="00373DFA">
      <w:pPr>
        <w:spacing w:after="200" w:line="276" w:lineRule="auto"/>
        <w:jc w:val="both"/>
        <w:rPr>
          <w:rFonts w:ascii="Garamond" w:hAnsi="Garamond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8489"/>
      </w:tblGrid>
      <w:tr w:rsidR="008419A9" w14:paraId="581297FA" w14:textId="77777777" w:rsidTr="008419A9">
        <w:tc>
          <w:tcPr>
            <w:tcW w:w="534" w:type="dxa"/>
          </w:tcPr>
          <w:p w14:paraId="38CBC7E4" w14:textId="77777777" w:rsidR="008419A9" w:rsidRPr="00D0613C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D0613C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8708" w:type="dxa"/>
          </w:tcPr>
          <w:p w14:paraId="7CC04DB7" w14:textId="77777777" w:rsidR="008419A9" w:rsidRPr="00D0613C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D0613C">
              <w:rPr>
                <w:rFonts w:ascii="Garamond" w:hAnsi="Garamond" w:cs="Arial"/>
                <w:b/>
              </w:rPr>
              <w:t>Job Purpose</w:t>
            </w:r>
          </w:p>
          <w:p w14:paraId="78726827" w14:textId="77777777" w:rsidR="008419A9" w:rsidRPr="00D0613C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14:paraId="4462DABE" w14:textId="77777777" w:rsidTr="008419A9">
        <w:tc>
          <w:tcPr>
            <w:tcW w:w="534" w:type="dxa"/>
          </w:tcPr>
          <w:p w14:paraId="5C5D3CBE" w14:textId="77777777" w:rsidR="008419A9" w:rsidRPr="00D0613C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8708" w:type="dxa"/>
          </w:tcPr>
          <w:p w14:paraId="3F5CED10" w14:textId="73799AB9" w:rsidR="000D4DF3" w:rsidRPr="00AD66AF" w:rsidRDefault="000D4DF3" w:rsidP="00373DFA">
            <w:pPr>
              <w:jc w:val="both"/>
              <w:rPr>
                <w:rFonts w:ascii="Garamond" w:hAnsi="Garamond"/>
                <w:color w:val="000000"/>
              </w:rPr>
            </w:pPr>
            <w:r w:rsidRPr="00AD66AF">
              <w:rPr>
                <w:rFonts w:ascii="Garamond" w:hAnsi="Garamond"/>
                <w:color w:val="000000"/>
              </w:rPr>
              <w:t>The Head of Finance</w:t>
            </w:r>
            <w:r>
              <w:rPr>
                <w:rFonts w:ascii="Garamond" w:hAnsi="Garamond"/>
                <w:color w:val="000000"/>
              </w:rPr>
              <w:t>,</w:t>
            </w:r>
            <w:r w:rsidRPr="00AD66AF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working</w:t>
            </w:r>
            <w:r w:rsidRPr="00AD66AF">
              <w:rPr>
                <w:rFonts w:ascii="Garamond" w:hAnsi="Garamond"/>
                <w:color w:val="000000"/>
              </w:rPr>
              <w:t xml:space="preserve"> closely with the Executive Director, actively contribute</w:t>
            </w:r>
            <w:r>
              <w:rPr>
                <w:rFonts w:ascii="Garamond" w:hAnsi="Garamond"/>
                <w:color w:val="000000"/>
              </w:rPr>
              <w:t>s</w:t>
            </w:r>
            <w:r w:rsidRPr="00AD66AF">
              <w:rPr>
                <w:rFonts w:ascii="Garamond" w:hAnsi="Garamond"/>
                <w:color w:val="000000"/>
              </w:rPr>
              <w:t xml:space="preserve"> to the Cathedral's strategic planning, providing strong financial and commercial guidance. </w:t>
            </w:r>
            <w:r>
              <w:rPr>
                <w:rFonts w:ascii="Garamond" w:hAnsi="Garamond"/>
                <w:color w:val="000000"/>
              </w:rPr>
              <w:t xml:space="preserve"> They </w:t>
            </w:r>
            <w:r w:rsidRPr="00AD66AF">
              <w:rPr>
                <w:rFonts w:ascii="Garamond" w:hAnsi="Garamond"/>
                <w:color w:val="000000"/>
              </w:rPr>
              <w:t xml:space="preserve">will also ensure that all aspects of financial management are properly conducted and provide </w:t>
            </w:r>
            <w:r w:rsidRPr="00AD66AF">
              <w:rPr>
                <w:rFonts w:ascii="Garamond" w:hAnsi="Garamond" w:cs="Arial"/>
                <w:color w:val="000000"/>
              </w:rPr>
              <w:t xml:space="preserve">accurate, relevant and timely financial information to </w:t>
            </w:r>
            <w:r>
              <w:rPr>
                <w:rFonts w:ascii="Garamond" w:hAnsi="Garamond" w:cs="Arial"/>
                <w:color w:val="000000"/>
              </w:rPr>
              <w:t xml:space="preserve">the </w:t>
            </w:r>
            <w:r w:rsidRPr="00AD66AF">
              <w:rPr>
                <w:rFonts w:ascii="Garamond" w:hAnsi="Garamond" w:cs="Arial"/>
                <w:color w:val="000000"/>
              </w:rPr>
              <w:t>Cathedral</w:t>
            </w:r>
            <w:r>
              <w:rPr>
                <w:rFonts w:ascii="Garamond" w:hAnsi="Garamond" w:cs="Arial"/>
                <w:color w:val="000000"/>
              </w:rPr>
              <w:t>’s</w:t>
            </w:r>
            <w:r w:rsidRPr="00AD66AF">
              <w:rPr>
                <w:rFonts w:ascii="Garamond" w:hAnsi="Garamond" w:cs="Arial"/>
                <w:color w:val="000000"/>
              </w:rPr>
              <w:t xml:space="preserve"> governing bodies.</w:t>
            </w:r>
          </w:p>
          <w:p w14:paraId="5CC8BE9C" w14:textId="77777777" w:rsidR="008419A9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415DBE85" w14:textId="1B31B3BB" w:rsidR="000D4DF3" w:rsidRPr="00D0613C" w:rsidRDefault="000D4DF3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14:paraId="287E0B59" w14:textId="77777777" w:rsidTr="008419A9">
        <w:tc>
          <w:tcPr>
            <w:tcW w:w="534" w:type="dxa"/>
          </w:tcPr>
          <w:p w14:paraId="1F6E907B" w14:textId="77777777" w:rsidR="008419A9" w:rsidRPr="00D0613C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D0613C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8708" w:type="dxa"/>
          </w:tcPr>
          <w:p w14:paraId="6FA96FE9" w14:textId="77777777" w:rsidR="008419A9" w:rsidRPr="00D0613C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D0613C">
              <w:rPr>
                <w:rFonts w:ascii="Garamond" w:hAnsi="Garamond" w:cs="Arial"/>
                <w:b/>
              </w:rPr>
              <w:t>Principal Accountabilities</w:t>
            </w:r>
          </w:p>
          <w:p w14:paraId="52372472" w14:textId="77777777" w:rsidR="008419A9" w:rsidRPr="00D0613C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14:paraId="0E8BC245" w14:textId="77777777" w:rsidTr="008419A9">
        <w:tc>
          <w:tcPr>
            <w:tcW w:w="534" w:type="dxa"/>
          </w:tcPr>
          <w:p w14:paraId="06861852" w14:textId="77777777" w:rsidR="008419A9" w:rsidRPr="00D0613C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8708" w:type="dxa"/>
          </w:tcPr>
          <w:p w14:paraId="42A5C83A" w14:textId="3C957654" w:rsidR="000D4DF3" w:rsidRPr="00AD66AF" w:rsidRDefault="000D4DF3" w:rsidP="00373DFA">
            <w:pPr>
              <w:numPr>
                <w:ilvl w:val="0"/>
                <w:numId w:val="11"/>
              </w:numPr>
              <w:jc w:val="both"/>
              <w:rPr>
                <w:rFonts w:ascii="Garamond" w:hAnsi="Garamond"/>
                <w:color w:val="000000"/>
              </w:rPr>
            </w:pPr>
            <w:r w:rsidRPr="00AD66AF">
              <w:rPr>
                <w:rFonts w:ascii="Garamond" w:hAnsi="Garamond"/>
                <w:color w:val="000000"/>
              </w:rPr>
              <w:t>Responsib</w:t>
            </w:r>
            <w:r>
              <w:rPr>
                <w:rFonts w:ascii="Garamond" w:hAnsi="Garamond"/>
                <w:color w:val="000000"/>
              </w:rPr>
              <w:t>ility</w:t>
            </w:r>
            <w:r w:rsidRPr="00AD66AF">
              <w:rPr>
                <w:rFonts w:ascii="Garamond" w:hAnsi="Garamond"/>
                <w:color w:val="000000"/>
              </w:rPr>
              <w:t xml:space="preserve"> for all aspects of the </w:t>
            </w:r>
            <w:r>
              <w:rPr>
                <w:rFonts w:ascii="Garamond" w:hAnsi="Garamond"/>
                <w:color w:val="000000"/>
              </w:rPr>
              <w:t xml:space="preserve">Cathedral’s </w:t>
            </w:r>
            <w:r w:rsidRPr="00AD66AF">
              <w:rPr>
                <w:rFonts w:ascii="Garamond" w:hAnsi="Garamond"/>
                <w:color w:val="000000"/>
              </w:rPr>
              <w:t xml:space="preserve">financial management </w:t>
            </w:r>
            <w:r>
              <w:rPr>
                <w:rFonts w:ascii="Garamond" w:hAnsi="Garamond"/>
                <w:color w:val="000000"/>
              </w:rPr>
              <w:t>including its trading subsidiary which consists of a shop, holiday let and accommodation business;</w:t>
            </w:r>
          </w:p>
          <w:p w14:paraId="6CFF3C59" w14:textId="68A04C72" w:rsidR="000D4DF3" w:rsidRPr="00AD66AF" w:rsidRDefault="000D4DF3" w:rsidP="00373DFA">
            <w:pPr>
              <w:numPr>
                <w:ilvl w:val="0"/>
                <w:numId w:val="11"/>
              </w:num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</w:t>
            </w:r>
            <w:r w:rsidRPr="00AD66AF">
              <w:rPr>
                <w:rFonts w:ascii="Garamond" w:hAnsi="Garamond"/>
                <w:color w:val="000000"/>
              </w:rPr>
              <w:t>ssess</w:t>
            </w:r>
            <w:r>
              <w:rPr>
                <w:rFonts w:ascii="Garamond" w:hAnsi="Garamond"/>
                <w:color w:val="000000"/>
              </w:rPr>
              <w:t xml:space="preserve">ing and </w:t>
            </w:r>
            <w:r w:rsidRPr="00AD66AF">
              <w:rPr>
                <w:rFonts w:ascii="Garamond" w:hAnsi="Garamond"/>
                <w:color w:val="000000"/>
              </w:rPr>
              <w:t>mak</w:t>
            </w:r>
            <w:r>
              <w:rPr>
                <w:rFonts w:ascii="Garamond" w:hAnsi="Garamond"/>
                <w:color w:val="000000"/>
              </w:rPr>
              <w:t>ing</w:t>
            </w:r>
            <w:r w:rsidRPr="00AD66AF">
              <w:rPr>
                <w:rFonts w:ascii="Garamond" w:hAnsi="Garamond"/>
                <w:color w:val="000000"/>
              </w:rPr>
              <w:t xml:space="preserve"> commercially sound and pragmatic decisions and recommendations for change</w:t>
            </w:r>
            <w:r>
              <w:rPr>
                <w:rFonts w:ascii="Garamond" w:hAnsi="Garamond"/>
                <w:color w:val="000000"/>
              </w:rPr>
              <w:t xml:space="preserve"> and ensuring they are implemented;</w:t>
            </w:r>
          </w:p>
          <w:p w14:paraId="16BB1606" w14:textId="7E41D770" w:rsidR="000D4DF3" w:rsidRPr="00AD66AF" w:rsidRDefault="000D4DF3" w:rsidP="00373DFA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AD66AF">
              <w:rPr>
                <w:rFonts w:ascii="Garamond" w:hAnsi="Garamond"/>
                <w:color w:val="000000"/>
              </w:rPr>
              <w:t>Contribut</w:t>
            </w:r>
            <w:r>
              <w:rPr>
                <w:rFonts w:ascii="Garamond" w:hAnsi="Garamond"/>
                <w:color w:val="000000"/>
              </w:rPr>
              <w:t xml:space="preserve">ing </w:t>
            </w:r>
            <w:r w:rsidRPr="00AD66AF">
              <w:rPr>
                <w:rFonts w:ascii="Garamond" w:hAnsi="Garamond"/>
                <w:color w:val="000000"/>
              </w:rPr>
              <w:t xml:space="preserve">to strategic </w:t>
            </w:r>
            <w:r w:rsidR="004E2EB0" w:rsidRPr="00AD66AF">
              <w:rPr>
                <w:rFonts w:ascii="Garamond" w:hAnsi="Garamond"/>
                <w:color w:val="000000"/>
              </w:rPr>
              <w:t>planning, writing</w:t>
            </w:r>
            <w:r w:rsidRPr="00AD66AF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 xml:space="preserve">and inputting </w:t>
            </w:r>
            <w:r w:rsidRPr="00AD66AF">
              <w:rPr>
                <w:rFonts w:ascii="Garamond" w:hAnsi="Garamond"/>
                <w:color w:val="000000"/>
              </w:rPr>
              <w:t xml:space="preserve">to </w:t>
            </w:r>
            <w:r>
              <w:rPr>
                <w:rFonts w:ascii="Garamond" w:hAnsi="Garamond"/>
                <w:color w:val="000000"/>
              </w:rPr>
              <w:t>b</w:t>
            </w:r>
            <w:r w:rsidRPr="00AD66AF">
              <w:rPr>
                <w:rFonts w:ascii="Garamond" w:hAnsi="Garamond"/>
                <w:color w:val="000000"/>
              </w:rPr>
              <w:t xml:space="preserve">usiness </w:t>
            </w:r>
            <w:r>
              <w:rPr>
                <w:rFonts w:ascii="Garamond" w:hAnsi="Garamond"/>
                <w:color w:val="000000"/>
              </w:rPr>
              <w:t>p</w:t>
            </w:r>
            <w:r w:rsidRPr="00AD66AF">
              <w:rPr>
                <w:rFonts w:ascii="Garamond" w:hAnsi="Garamond"/>
                <w:color w:val="000000"/>
              </w:rPr>
              <w:t xml:space="preserve">lans, providing support to </w:t>
            </w:r>
            <w:r>
              <w:rPr>
                <w:rFonts w:ascii="Garamond" w:hAnsi="Garamond"/>
                <w:color w:val="000000"/>
              </w:rPr>
              <w:t xml:space="preserve">enable sound </w:t>
            </w:r>
            <w:r w:rsidRPr="00AD66AF">
              <w:rPr>
                <w:rFonts w:ascii="Garamond" w:hAnsi="Garamond"/>
                <w:color w:val="000000"/>
              </w:rPr>
              <w:t>business decision</w:t>
            </w:r>
            <w:r>
              <w:rPr>
                <w:rFonts w:ascii="Garamond" w:hAnsi="Garamond"/>
                <w:color w:val="000000"/>
              </w:rPr>
              <w:t xml:space="preserve"> making </w:t>
            </w:r>
            <w:r w:rsidRPr="00AD66AF">
              <w:rPr>
                <w:rFonts w:ascii="Garamond" w:hAnsi="Garamond"/>
                <w:color w:val="000000"/>
              </w:rPr>
              <w:t>ensur</w:t>
            </w:r>
            <w:r>
              <w:rPr>
                <w:rFonts w:ascii="Garamond" w:hAnsi="Garamond"/>
                <w:color w:val="000000"/>
              </w:rPr>
              <w:t xml:space="preserve">ing financial considerations are fully considered; </w:t>
            </w:r>
          </w:p>
          <w:p w14:paraId="2248A90A" w14:textId="553FEACA" w:rsidR="000D4DF3" w:rsidRDefault="000D4DF3" w:rsidP="00373DFA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AD66AF">
              <w:rPr>
                <w:rFonts w:ascii="Garamond" w:hAnsi="Garamond"/>
                <w:color w:val="000000"/>
              </w:rPr>
              <w:t>Prepar</w:t>
            </w:r>
            <w:r>
              <w:rPr>
                <w:rFonts w:ascii="Garamond" w:hAnsi="Garamond"/>
                <w:color w:val="000000"/>
              </w:rPr>
              <w:t>ing</w:t>
            </w:r>
            <w:r w:rsidRPr="00AD66AF">
              <w:rPr>
                <w:rFonts w:ascii="Garamond" w:hAnsi="Garamond"/>
                <w:color w:val="000000"/>
              </w:rPr>
              <w:t xml:space="preserve"> and monitor</w:t>
            </w:r>
            <w:r>
              <w:rPr>
                <w:rFonts w:ascii="Garamond" w:hAnsi="Garamond"/>
                <w:color w:val="000000"/>
              </w:rPr>
              <w:t>ing</w:t>
            </w:r>
            <w:r w:rsidRPr="00AD66AF">
              <w:rPr>
                <w:rFonts w:ascii="Garamond" w:hAnsi="Garamond"/>
                <w:color w:val="000000"/>
              </w:rPr>
              <w:t xml:space="preserve"> annual budgets, working closely with the Executive Director and </w:t>
            </w:r>
            <w:r>
              <w:rPr>
                <w:rFonts w:ascii="Garamond" w:hAnsi="Garamond"/>
                <w:color w:val="000000"/>
              </w:rPr>
              <w:t xml:space="preserve">colleagues in other teams and </w:t>
            </w:r>
            <w:r w:rsidRPr="00AD66AF">
              <w:rPr>
                <w:rFonts w:ascii="Garamond" w:hAnsi="Garamond"/>
                <w:color w:val="000000"/>
              </w:rPr>
              <w:t>oversee</w:t>
            </w:r>
            <w:r>
              <w:rPr>
                <w:rFonts w:ascii="Garamond" w:hAnsi="Garamond"/>
                <w:color w:val="000000"/>
              </w:rPr>
              <w:t>ing</w:t>
            </w:r>
            <w:r w:rsidRPr="00AD66AF">
              <w:rPr>
                <w:rFonts w:ascii="Garamond" w:hAnsi="Garamond"/>
                <w:color w:val="000000"/>
              </w:rPr>
              <w:t xml:space="preserve"> the production of accurate monthly management accounts, balance sheets, cash flows and funds allocations</w:t>
            </w:r>
            <w:r>
              <w:rPr>
                <w:rFonts w:ascii="Garamond" w:hAnsi="Garamond"/>
                <w:color w:val="000000"/>
              </w:rPr>
              <w:t>;</w:t>
            </w:r>
          </w:p>
          <w:p w14:paraId="101F2499" w14:textId="398495CB" w:rsidR="000A6902" w:rsidRDefault="000A6902" w:rsidP="00373DFA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Monitoring the balance sheet control accounts and preparing and performing reconciliations thereon</w:t>
            </w:r>
          </w:p>
          <w:p w14:paraId="5889BBB3" w14:textId="43B1041B" w:rsidR="000D4DF3" w:rsidRPr="00AD66AF" w:rsidRDefault="000D4DF3" w:rsidP="00373DFA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Continuing to improve financial systems and processes as appropriate;  </w:t>
            </w:r>
          </w:p>
          <w:p w14:paraId="36F29E6A" w14:textId="0718591E" w:rsidR="000D4DF3" w:rsidRPr="00AD66AF" w:rsidRDefault="000D4DF3" w:rsidP="00373DFA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AD66AF">
              <w:rPr>
                <w:rFonts w:ascii="Garamond" w:hAnsi="Garamond"/>
                <w:color w:val="000000"/>
              </w:rPr>
              <w:t>Prepar</w:t>
            </w:r>
            <w:r>
              <w:rPr>
                <w:rFonts w:ascii="Garamond" w:hAnsi="Garamond"/>
                <w:color w:val="000000"/>
              </w:rPr>
              <w:t>ing</w:t>
            </w:r>
            <w:r w:rsidRPr="00AD66AF">
              <w:rPr>
                <w:rFonts w:ascii="Garamond" w:hAnsi="Garamond"/>
                <w:color w:val="000000"/>
              </w:rPr>
              <w:t xml:space="preserve"> year</w:t>
            </w:r>
            <w:r>
              <w:rPr>
                <w:rFonts w:ascii="Garamond" w:hAnsi="Garamond"/>
                <w:color w:val="000000"/>
              </w:rPr>
              <w:t>-</w:t>
            </w:r>
            <w:r w:rsidRPr="00AD66AF">
              <w:rPr>
                <w:rFonts w:ascii="Garamond" w:hAnsi="Garamond"/>
                <w:color w:val="000000"/>
              </w:rPr>
              <w:t>end financial statements in accordance with the Charity SORP, Cathedral Accounting Regulations and the Companies Act</w:t>
            </w:r>
            <w:r>
              <w:rPr>
                <w:rFonts w:ascii="Garamond" w:hAnsi="Garamond"/>
                <w:color w:val="000000"/>
              </w:rPr>
              <w:t>;</w:t>
            </w:r>
            <w:r w:rsidRPr="00AD66AF">
              <w:rPr>
                <w:rFonts w:ascii="Garamond" w:hAnsi="Garamond"/>
                <w:color w:val="000000"/>
              </w:rPr>
              <w:t xml:space="preserve">  </w:t>
            </w:r>
          </w:p>
          <w:p w14:paraId="14B420ED" w14:textId="4C1F825B" w:rsidR="000D4DF3" w:rsidRPr="00AD66AF" w:rsidRDefault="000D4DF3" w:rsidP="00373DFA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AD66AF">
              <w:rPr>
                <w:rFonts w:ascii="Garamond" w:hAnsi="Garamond"/>
                <w:color w:val="000000"/>
              </w:rPr>
              <w:t>Liaising with auditors</w:t>
            </w:r>
            <w:r>
              <w:rPr>
                <w:rFonts w:ascii="Garamond" w:hAnsi="Garamond"/>
                <w:color w:val="000000"/>
              </w:rPr>
              <w:t>;</w:t>
            </w:r>
          </w:p>
          <w:p w14:paraId="5D5FE476" w14:textId="5DEF96AD" w:rsidR="000D4DF3" w:rsidRPr="00AD66AF" w:rsidRDefault="000D4DF3" w:rsidP="00373DFA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AD66AF">
              <w:rPr>
                <w:rFonts w:ascii="Garamond" w:hAnsi="Garamond"/>
                <w:color w:val="000000"/>
              </w:rPr>
              <w:t>Provid</w:t>
            </w:r>
            <w:r>
              <w:rPr>
                <w:rFonts w:ascii="Garamond" w:hAnsi="Garamond"/>
                <w:color w:val="000000"/>
              </w:rPr>
              <w:t>ing</w:t>
            </w:r>
            <w:r w:rsidRPr="00AD66AF">
              <w:rPr>
                <w:rFonts w:ascii="Garamond" w:hAnsi="Garamond"/>
                <w:color w:val="000000"/>
              </w:rPr>
              <w:t xml:space="preserve"> commentary and analysis, presenting as and when required</w:t>
            </w:r>
            <w:r>
              <w:rPr>
                <w:rFonts w:ascii="Garamond" w:hAnsi="Garamond"/>
                <w:color w:val="000000"/>
              </w:rPr>
              <w:t>,</w:t>
            </w:r>
            <w:r w:rsidRPr="00AD66AF">
              <w:rPr>
                <w:rFonts w:ascii="Garamond" w:hAnsi="Garamond"/>
                <w:color w:val="000000"/>
              </w:rPr>
              <w:t xml:space="preserve"> at internal and Board meetings</w:t>
            </w:r>
          </w:p>
          <w:p w14:paraId="42CC5DD5" w14:textId="5EA76B01" w:rsidR="000D4DF3" w:rsidRPr="00AD66AF" w:rsidRDefault="000D4DF3" w:rsidP="00373DFA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AD66AF">
              <w:rPr>
                <w:rFonts w:ascii="Garamond" w:hAnsi="Garamond" w:cs="Arial"/>
                <w:color w:val="000000"/>
              </w:rPr>
              <w:t>Work</w:t>
            </w:r>
            <w:r>
              <w:rPr>
                <w:rFonts w:ascii="Garamond" w:hAnsi="Garamond" w:cs="Arial"/>
                <w:color w:val="000000"/>
              </w:rPr>
              <w:t>ing</w:t>
            </w:r>
            <w:r w:rsidRPr="00AD66AF">
              <w:rPr>
                <w:rFonts w:ascii="Garamond" w:hAnsi="Garamond" w:cs="Arial"/>
                <w:color w:val="000000"/>
              </w:rPr>
              <w:t xml:space="preserve"> closely with budget holders </w:t>
            </w:r>
            <w:r w:rsidRPr="00AD66AF">
              <w:rPr>
                <w:rFonts w:ascii="Garamond" w:hAnsi="Garamond"/>
                <w:color w:val="000000"/>
              </w:rPr>
              <w:t>to manage and review day to day finances to maximise funding and commercial opportunities or value for money, to expand current services</w:t>
            </w:r>
          </w:p>
          <w:p w14:paraId="35387B7D" w14:textId="31F24B5C" w:rsidR="000D4DF3" w:rsidRPr="00AD66AF" w:rsidRDefault="000D4DF3" w:rsidP="00373DFA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AD66AF">
              <w:rPr>
                <w:rFonts w:ascii="Garamond" w:hAnsi="Garamond"/>
                <w:color w:val="000000"/>
              </w:rPr>
              <w:t>Develop</w:t>
            </w:r>
            <w:r>
              <w:rPr>
                <w:rFonts w:ascii="Garamond" w:hAnsi="Garamond"/>
                <w:color w:val="000000"/>
              </w:rPr>
              <w:t>ing</w:t>
            </w:r>
            <w:r w:rsidRPr="00AD66AF">
              <w:rPr>
                <w:rFonts w:ascii="Garamond" w:hAnsi="Garamond"/>
                <w:color w:val="000000"/>
              </w:rPr>
              <w:t xml:space="preserve"> current internal control policies, systems and procedures to improve the effectiveness of financial management and reporting </w:t>
            </w:r>
          </w:p>
          <w:p w14:paraId="52E62C59" w14:textId="1D23F2A3" w:rsidR="000D4DF3" w:rsidRPr="00AD66AF" w:rsidRDefault="000D4DF3" w:rsidP="00373DFA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Maintaining Soldo expense card system and Approvalmax Accounts payable workflow system</w:t>
            </w:r>
          </w:p>
          <w:p w14:paraId="6340262D" w14:textId="63261C7A" w:rsidR="000D4DF3" w:rsidRDefault="000D4DF3" w:rsidP="00373DFA">
            <w:pPr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 w:rsidRPr="00AD66AF">
              <w:rPr>
                <w:rFonts w:ascii="Garamond" w:hAnsi="Garamond"/>
              </w:rPr>
              <w:t>Oversee</w:t>
            </w:r>
            <w:r>
              <w:rPr>
                <w:rFonts w:ascii="Garamond" w:hAnsi="Garamond"/>
              </w:rPr>
              <w:t>ing</w:t>
            </w:r>
            <w:r w:rsidRPr="00AD66AF">
              <w:rPr>
                <w:rFonts w:ascii="Garamond" w:hAnsi="Garamond"/>
              </w:rPr>
              <w:t xml:space="preserve"> staff payroll, pension contributions and HMRC returns</w:t>
            </w:r>
          </w:p>
          <w:p w14:paraId="2F057001" w14:textId="0E659EBF" w:rsidR="000D4DF3" w:rsidRDefault="000D4DF3" w:rsidP="00373DFA">
            <w:pPr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Preparing VAT returns</w:t>
            </w:r>
          </w:p>
          <w:p w14:paraId="7EA6A02A" w14:textId="2C73192A" w:rsidR="000D4DF3" w:rsidRDefault="000D4DF3" w:rsidP="00373DFA">
            <w:pPr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Preparing and returning gift aid, grants and other finance applications</w:t>
            </w:r>
          </w:p>
          <w:p w14:paraId="595B683D" w14:textId="77777777" w:rsidR="000D4DF3" w:rsidRDefault="000D4DF3" w:rsidP="00373DFA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AD66AF">
              <w:rPr>
                <w:rFonts w:ascii="Garamond" w:hAnsi="Garamond"/>
                <w:color w:val="000000"/>
              </w:rPr>
              <w:t>Monitoring property and investment income</w:t>
            </w:r>
            <w:r>
              <w:rPr>
                <w:rFonts w:ascii="Garamond" w:hAnsi="Garamond"/>
                <w:color w:val="000000"/>
              </w:rPr>
              <w:t xml:space="preserve"> by:</w:t>
            </w:r>
          </w:p>
          <w:p w14:paraId="22BAC51A" w14:textId="3735EF58" w:rsidR="000D4DF3" w:rsidRDefault="000D4DF3" w:rsidP="00373DFA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liaising with key outsourced partners in property and tenant management</w:t>
            </w:r>
          </w:p>
          <w:p w14:paraId="72284139" w14:textId="4955DD20" w:rsidR="000D4DF3" w:rsidRDefault="000D4DF3" w:rsidP="00373DFA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liaising with equity investment management partner is delivering required investment reporting and controls</w:t>
            </w:r>
            <w:r w:rsidR="00561B4D">
              <w:rPr>
                <w:rFonts w:ascii="Garamond" w:hAnsi="Garamond"/>
              </w:rPr>
              <w:t>;</w:t>
            </w:r>
          </w:p>
          <w:p w14:paraId="0D5B0C30" w14:textId="3DAB9DE8" w:rsidR="000D4DF3" w:rsidRDefault="000D4DF3" w:rsidP="00373DFA">
            <w:pPr>
              <w:numPr>
                <w:ilvl w:val="0"/>
                <w:numId w:val="11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Continuing to embed recent outsourcing of associate entities accounting with chosen partner</w:t>
            </w:r>
            <w:r w:rsidR="00DF6040">
              <w:rPr>
                <w:rFonts w:ascii="Garamond" w:hAnsi="Garamond"/>
              </w:rPr>
              <w:t>.</w:t>
            </w:r>
          </w:p>
          <w:p w14:paraId="7BD5A46B" w14:textId="77777777" w:rsidR="00DF6040" w:rsidRPr="00AD66AF" w:rsidRDefault="00DF6040" w:rsidP="00DF6040">
            <w:pPr>
              <w:jc w:val="both"/>
              <w:rPr>
                <w:rFonts w:ascii="Garamond" w:hAnsi="Garamond"/>
              </w:rPr>
            </w:pPr>
          </w:p>
          <w:p w14:paraId="50921065" w14:textId="166B731D" w:rsidR="00373DFA" w:rsidRPr="00D0613C" w:rsidRDefault="00373DFA" w:rsidP="00DF6040">
            <w:pPr>
              <w:spacing w:line="259" w:lineRule="auto"/>
              <w:contextualSpacing/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14:paraId="48ADC02D" w14:textId="77777777" w:rsidTr="008419A9">
        <w:tc>
          <w:tcPr>
            <w:tcW w:w="534" w:type="dxa"/>
          </w:tcPr>
          <w:p w14:paraId="22A880CC" w14:textId="77777777" w:rsidR="008419A9" w:rsidRPr="00F8782F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lastRenderedPageBreak/>
              <w:t>3</w:t>
            </w:r>
          </w:p>
        </w:tc>
        <w:tc>
          <w:tcPr>
            <w:tcW w:w="8708" w:type="dxa"/>
          </w:tcPr>
          <w:p w14:paraId="3561E0A3" w14:textId="77777777" w:rsidR="008419A9" w:rsidRPr="00F8782F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Level of Responsibility</w:t>
            </w:r>
          </w:p>
          <w:p w14:paraId="06F38E7B" w14:textId="77777777" w:rsidR="008419A9" w:rsidRPr="00F8782F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14:paraId="23AB0EAB" w14:textId="77777777" w:rsidTr="008419A9">
        <w:tc>
          <w:tcPr>
            <w:tcW w:w="534" w:type="dxa"/>
          </w:tcPr>
          <w:p w14:paraId="4CB260BA" w14:textId="77777777" w:rsidR="008419A9" w:rsidRPr="00F8782F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a</w:t>
            </w:r>
          </w:p>
        </w:tc>
        <w:tc>
          <w:tcPr>
            <w:tcW w:w="8708" w:type="dxa"/>
          </w:tcPr>
          <w:p w14:paraId="7235AC5D" w14:textId="77777777" w:rsidR="008419A9" w:rsidRPr="00F8782F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People</w:t>
            </w:r>
          </w:p>
          <w:p w14:paraId="7E10FB20" w14:textId="2538780F" w:rsidR="00561B4D" w:rsidRPr="00AD66AF" w:rsidRDefault="00561B4D" w:rsidP="00373DFA">
            <w:p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The Head of Finance l</w:t>
            </w:r>
            <w:r w:rsidRPr="00AD66AF">
              <w:rPr>
                <w:rFonts w:ascii="Garamond" w:hAnsi="Garamond"/>
                <w:color w:val="000000"/>
              </w:rPr>
              <w:t>ead</w:t>
            </w:r>
            <w:r>
              <w:rPr>
                <w:rFonts w:ascii="Garamond" w:hAnsi="Garamond"/>
                <w:color w:val="000000"/>
              </w:rPr>
              <w:t xml:space="preserve">s and manages a </w:t>
            </w:r>
            <w:r w:rsidRPr="00AD66AF">
              <w:rPr>
                <w:rFonts w:ascii="Garamond" w:hAnsi="Garamond"/>
                <w:color w:val="000000"/>
              </w:rPr>
              <w:t xml:space="preserve">small </w:t>
            </w:r>
            <w:r>
              <w:rPr>
                <w:rFonts w:ascii="Garamond" w:hAnsi="Garamond"/>
                <w:color w:val="000000"/>
              </w:rPr>
              <w:t xml:space="preserve">part time </w:t>
            </w:r>
            <w:r w:rsidRPr="00AD66AF">
              <w:rPr>
                <w:rFonts w:ascii="Garamond" w:hAnsi="Garamond"/>
                <w:color w:val="000000"/>
              </w:rPr>
              <w:t>finance team</w:t>
            </w:r>
            <w:r>
              <w:rPr>
                <w:rFonts w:ascii="Garamond" w:hAnsi="Garamond"/>
                <w:color w:val="000000"/>
              </w:rPr>
              <w:t>.</w:t>
            </w:r>
          </w:p>
          <w:p w14:paraId="110C65D3" w14:textId="77777777" w:rsidR="008419A9" w:rsidRPr="00F8782F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14:paraId="147D7BA5" w14:textId="77777777" w:rsidTr="008419A9">
        <w:tc>
          <w:tcPr>
            <w:tcW w:w="534" w:type="dxa"/>
          </w:tcPr>
          <w:p w14:paraId="745E86BE" w14:textId="77777777" w:rsidR="008419A9" w:rsidRPr="00F8782F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b</w:t>
            </w:r>
          </w:p>
        </w:tc>
        <w:tc>
          <w:tcPr>
            <w:tcW w:w="8708" w:type="dxa"/>
          </w:tcPr>
          <w:p w14:paraId="696411F2" w14:textId="77777777" w:rsidR="008419A9" w:rsidRPr="00F8782F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Financial Management</w:t>
            </w:r>
          </w:p>
          <w:p w14:paraId="2F8219E8" w14:textId="77777777" w:rsidR="008419A9" w:rsidRDefault="00561B4D" w:rsidP="00373DFA">
            <w:pPr>
              <w:jc w:val="both"/>
              <w:rPr>
                <w:rFonts w:ascii="Garamond" w:hAnsi="Garamond" w:cs="Arial"/>
                <w:bCs/>
              </w:rPr>
            </w:pPr>
            <w:r w:rsidRPr="00561B4D">
              <w:rPr>
                <w:rFonts w:ascii="Garamond" w:hAnsi="Garamond" w:cs="Arial"/>
                <w:bCs/>
              </w:rPr>
              <w:t xml:space="preserve">The </w:t>
            </w:r>
            <w:r>
              <w:rPr>
                <w:rFonts w:ascii="Garamond" w:hAnsi="Garamond" w:cs="Arial"/>
                <w:bCs/>
              </w:rPr>
              <w:t>Head of Finance has overall responsibility for the Cathedral’s finances</w:t>
            </w:r>
            <w:r w:rsidR="00373DFA">
              <w:rPr>
                <w:rFonts w:ascii="Garamond" w:hAnsi="Garamond" w:cs="Arial"/>
                <w:bCs/>
              </w:rPr>
              <w:t>.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  <w:p w14:paraId="13FE0E76" w14:textId="2D28A290" w:rsidR="00373DFA" w:rsidRPr="00F8782F" w:rsidRDefault="00373DFA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14:paraId="26F6CA24" w14:textId="77777777" w:rsidTr="008419A9">
        <w:tc>
          <w:tcPr>
            <w:tcW w:w="534" w:type="dxa"/>
          </w:tcPr>
          <w:p w14:paraId="2CFD13F4" w14:textId="77777777" w:rsidR="008419A9" w:rsidRPr="00F8782F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c</w:t>
            </w:r>
          </w:p>
        </w:tc>
        <w:tc>
          <w:tcPr>
            <w:tcW w:w="8708" w:type="dxa"/>
          </w:tcPr>
          <w:p w14:paraId="03F33529" w14:textId="77777777" w:rsidR="008419A9" w:rsidRPr="00F8782F" w:rsidRDefault="00F8782F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Other</w:t>
            </w:r>
          </w:p>
          <w:p w14:paraId="0F487E5C" w14:textId="2B7B7DA8" w:rsidR="00F8782F" w:rsidRPr="00561B4D" w:rsidRDefault="00561B4D" w:rsidP="00373DFA">
            <w:pPr>
              <w:jc w:val="both"/>
              <w:rPr>
                <w:rFonts w:ascii="Garamond" w:hAnsi="Garamond" w:cs="Arial"/>
                <w:color w:val="000000" w:themeColor="text1"/>
              </w:rPr>
            </w:pPr>
            <w:r w:rsidRPr="00561B4D">
              <w:rPr>
                <w:rFonts w:ascii="Garamond" w:hAnsi="Garamond" w:cs="Arial"/>
                <w:color w:val="000000" w:themeColor="text1"/>
              </w:rPr>
              <w:t>The Head of Finance is a member of the Cathedral’s senior leadership team.</w:t>
            </w:r>
          </w:p>
          <w:p w14:paraId="321D30D2" w14:textId="77777777" w:rsidR="008419A9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6039DD97" w14:textId="55943760" w:rsidR="00561B4D" w:rsidRPr="00F8782F" w:rsidRDefault="00561B4D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14:paraId="71CF0AC0" w14:textId="77777777" w:rsidTr="008419A9">
        <w:tc>
          <w:tcPr>
            <w:tcW w:w="534" w:type="dxa"/>
          </w:tcPr>
          <w:p w14:paraId="64B58A36" w14:textId="77777777" w:rsidR="008419A9" w:rsidRPr="00F8782F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4</w:t>
            </w:r>
          </w:p>
        </w:tc>
        <w:tc>
          <w:tcPr>
            <w:tcW w:w="8708" w:type="dxa"/>
          </w:tcPr>
          <w:p w14:paraId="2384303B" w14:textId="77777777" w:rsidR="008419A9" w:rsidRPr="00F8782F" w:rsidRDefault="00F8782F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Contacts</w:t>
            </w:r>
          </w:p>
          <w:p w14:paraId="213B0F84" w14:textId="77777777" w:rsidR="00F8782F" w:rsidRPr="00F8782F" w:rsidRDefault="00F8782F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14:paraId="35A3035D" w14:textId="77777777" w:rsidTr="008419A9">
        <w:tc>
          <w:tcPr>
            <w:tcW w:w="534" w:type="dxa"/>
          </w:tcPr>
          <w:p w14:paraId="2EDC52C0" w14:textId="77777777" w:rsidR="008419A9" w:rsidRPr="00F8782F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8708" w:type="dxa"/>
          </w:tcPr>
          <w:p w14:paraId="41BE70CC" w14:textId="7CBE9B04" w:rsidR="00561B4D" w:rsidRPr="00561B4D" w:rsidRDefault="00561B4D" w:rsidP="00373DF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color w:val="000000" w:themeColor="text1"/>
              </w:rPr>
            </w:pPr>
            <w:r w:rsidRPr="00561B4D">
              <w:rPr>
                <w:rFonts w:ascii="Garamond" w:hAnsi="Garamond" w:cs="Arial"/>
                <w:color w:val="000000" w:themeColor="text1"/>
              </w:rPr>
              <w:t xml:space="preserve">Colleagues in other teams </w:t>
            </w:r>
            <w:r w:rsidR="004E2EB0" w:rsidRPr="00561B4D">
              <w:rPr>
                <w:rFonts w:ascii="Garamond" w:hAnsi="Garamond" w:cs="Arial"/>
                <w:color w:val="000000" w:themeColor="text1"/>
              </w:rPr>
              <w:t>to</w:t>
            </w:r>
            <w:r w:rsidRPr="00561B4D">
              <w:rPr>
                <w:rFonts w:ascii="Garamond" w:hAnsi="Garamond" w:cs="Arial"/>
                <w:color w:val="000000" w:themeColor="text1"/>
              </w:rPr>
              <w:t xml:space="preserve"> provide support in budget preparation and management;</w:t>
            </w:r>
          </w:p>
          <w:p w14:paraId="4EDF5939" w14:textId="42D7C74C" w:rsidR="00561B4D" w:rsidRPr="00561B4D" w:rsidRDefault="00561B4D" w:rsidP="00373DF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color w:val="000000" w:themeColor="text1"/>
              </w:rPr>
            </w:pPr>
            <w:r w:rsidRPr="00561B4D">
              <w:rPr>
                <w:rFonts w:ascii="Garamond" w:hAnsi="Garamond" w:cs="Arial"/>
                <w:color w:val="000000" w:themeColor="text1"/>
              </w:rPr>
              <w:t xml:space="preserve">Senior leadership team and Chapter et al </w:t>
            </w:r>
            <w:r w:rsidR="004E2EB0" w:rsidRPr="00561B4D">
              <w:rPr>
                <w:rFonts w:ascii="Garamond" w:hAnsi="Garamond" w:cs="Arial"/>
                <w:color w:val="000000" w:themeColor="text1"/>
              </w:rPr>
              <w:t>to</w:t>
            </w:r>
            <w:r w:rsidRPr="00561B4D">
              <w:rPr>
                <w:rFonts w:ascii="Garamond" w:hAnsi="Garamond" w:cs="Arial"/>
                <w:color w:val="000000" w:themeColor="text1"/>
              </w:rPr>
              <w:t xml:space="preserve"> ensure understanding of the Cathedral’s financial position in decision-making;</w:t>
            </w:r>
          </w:p>
          <w:p w14:paraId="6A7139FB" w14:textId="564B618E" w:rsidR="00F8782F" w:rsidRDefault="00561B4D" w:rsidP="00373DF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color w:val="000000" w:themeColor="text1"/>
              </w:rPr>
            </w:pPr>
            <w:r w:rsidRPr="00561B4D">
              <w:rPr>
                <w:rFonts w:ascii="Garamond" w:hAnsi="Garamond" w:cs="Arial"/>
                <w:color w:val="000000" w:themeColor="text1"/>
              </w:rPr>
              <w:t xml:space="preserve">Auditors and other professional advisors </w:t>
            </w:r>
            <w:r w:rsidR="004E2EB0" w:rsidRPr="00561B4D">
              <w:rPr>
                <w:rFonts w:ascii="Garamond" w:hAnsi="Garamond" w:cs="Arial"/>
                <w:color w:val="000000" w:themeColor="text1"/>
              </w:rPr>
              <w:t>to</w:t>
            </w:r>
            <w:r w:rsidRPr="00561B4D">
              <w:rPr>
                <w:rFonts w:ascii="Garamond" w:hAnsi="Garamond" w:cs="Arial"/>
                <w:color w:val="000000" w:themeColor="text1"/>
              </w:rPr>
              <w:t xml:space="preserve"> ensure that we comply with </w:t>
            </w:r>
            <w:r>
              <w:rPr>
                <w:rFonts w:ascii="Garamond" w:hAnsi="Garamond" w:cs="Arial"/>
                <w:color w:val="000000" w:themeColor="text1"/>
              </w:rPr>
              <w:t>financial requirements.</w:t>
            </w:r>
          </w:p>
          <w:p w14:paraId="5BC8AC11" w14:textId="061DA6DC" w:rsidR="000A6902" w:rsidRPr="00373DFA" w:rsidRDefault="000A6902" w:rsidP="00373DF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color w:val="000000" w:themeColor="text1"/>
              </w:rPr>
            </w:pPr>
            <w:r>
              <w:rPr>
                <w:rFonts w:ascii="Garamond" w:hAnsi="Garamond" w:cs="Arial"/>
                <w:color w:val="000000" w:themeColor="text1"/>
              </w:rPr>
              <w:t xml:space="preserve">Outsourced partners </w:t>
            </w:r>
            <w:r w:rsidR="00DF6040">
              <w:rPr>
                <w:rFonts w:ascii="Garamond" w:hAnsi="Garamond" w:cs="Arial"/>
                <w:color w:val="000000" w:themeColor="text1"/>
              </w:rPr>
              <w:t>to ensure the effective management of the Cathedral’s finances.</w:t>
            </w:r>
          </w:p>
          <w:p w14:paraId="14CA437A" w14:textId="77777777" w:rsidR="00F8782F" w:rsidRPr="00561B4D" w:rsidRDefault="00F8782F" w:rsidP="00373DFA">
            <w:pPr>
              <w:jc w:val="both"/>
              <w:rPr>
                <w:rFonts w:ascii="Garamond" w:hAnsi="Garamond" w:cs="Arial"/>
                <w:color w:val="000000" w:themeColor="text1"/>
              </w:rPr>
            </w:pPr>
          </w:p>
          <w:p w14:paraId="2E8B6B60" w14:textId="53CA96BF" w:rsidR="008419A9" w:rsidRPr="00F8782F" w:rsidRDefault="008419A9" w:rsidP="00373DFA">
            <w:pPr>
              <w:ind w:firstLine="60"/>
              <w:jc w:val="both"/>
              <w:rPr>
                <w:rFonts w:ascii="Garamond" w:hAnsi="Garamond" w:cs="Arial"/>
                <w:b/>
              </w:rPr>
            </w:pPr>
          </w:p>
        </w:tc>
      </w:tr>
      <w:tr w:rsidR="00F8782F" w14:paraId="1AD3252E" w14:textId="77777777" w:rsidTr="008419A9">
        <w:tc>
          <w:tcPr>
            <w:tcW w:w="534" w:type="dxa"/>
          </w:tcPr>
          <w:p w14:paraId="49C4D72F" w14:textId="77777777" w:rsidR="00F8782F" w:rsidRPr="00F8782F" w:rsidRDefault="00F8782F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5</w:t>
            </w:r>
          </w:p>
        </w:tc>
        <w:tc>
          <w:tcPr>
            <w:tcW w:w="8708" w:type="dxa"/>
          </w:tcPr>
          <w:p w14:paraId="1F7FFC18" w14:textId="77777777" w:rsidR="00F8782F" w:rsidRPr="00F8782F" w:rsidRDefault="00F8782F" w:rsidP="00373DFA">
            <w:pPr>
              <w:jc w:val="both"/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Special Requirements</w:t>
            </w:r>
          </w:p>
          <w:p w14:paraId="0BF6EC47" w14:textId="77777777" w:rsidR="00F8782F" w:rsidRPr="00F8782F" w:rsidRDefault="00F8782F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F8782F" w14:paraId="1A9227B4" w14:textId="77777777" w:rsidTr="008419A9">
        <w:tc>
          <w:tcPr>
            <w:tcW w:w="534" w:type="dxa"/>
          </w:tcPr>
          <w:p w14:paraId="314610D5" w14:textId="77777777" w:rsidR="00F8782F" w:rsidRPr="00F8782F" w:rsidRDefault="00F8782F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8708" w:type="dxa"/>
          </w:tcPr>
          <w:p w14:paraId="27E212F6" w14:textId="70ECFDC5" w:rsidR="00561B4D" w:rsidRPr="00615AB3" w:rsidRDefault="00561B4D" w:rsidP="00373DF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615AB3">
              <w:rPr>
                <w:rFonts w:ascii="Garamond" w:hAnsi="Garamond"/>
                <w:color w:val="000000" w:themeColor="text1"/>
              </w:rPr>
              <w:t xml:space="preserve">The role </w:t>
            </w:r>
            <w:r>
              <w:rPr>
                <w:rFonts w:ascii="Garamond" w:hAnsi="Garamond"/>
                <w:color w:val="000000" w:themeColor="text1"/>
              </w:rPr>
              <w:t>may</w:t>
            </w:r>
            <w:r w:rsidRPr="00615AB3">
              <w:rPr>
                <w:rFonts w:ascii="Garamond" w:hAnsi="Garamond"/>
                <w:color w:val="000000" w:themeColor="text1"/>
              </w:rPr>
              <w:t xml:space="preserve"> require occasional </w:t>
            </w:r>
            <w:r>
              <w:rPr>
                <w:rFonts w:ascii="Garamond" w:hAnsi="Garamond"/>
                <w:color w:val="000000" w:themeColor="text1"/>
              </w:rPr>
              <w:t xml:space="preserve">evening and </w:t>
            </w:r>
            <w:r w:rsidRPr="00615AB3">
              <w:rPr>
                <w:rFonts w:ascii="Garamond" w:hAnsi="Garamond"/>
                <w:color w:val="000000" w:themeColor="text1"/>
              </w:rPr>
              <w:t xml:space="preserve">weekend working and a flexible approach to working hours at busy times. 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Pr="00615AB3">
              <w:rPr>
                <w:rFonts w:ascii="Garamond" w:hAnsi="Garamond"/>
                <w:color w:val="000000" w:themeColor="text1"/>
              </w:rPr>
              <w:t>A degree of home working is an option that may be explored alongside flexibility in working hours.</w:t>
            </w:r>
          </w:p>
          <w:p w14:paraId="26FE1E4B" w14:textId="77777777" w:rsidR="00561B4D" w:rsidRPr="00615AB3" w:rsidRDefault="00561B4D" w:rsidP="00373DFA">
            <w:pPr>
              <w:pStyle w:val="BodyText"/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75DAEB38" w14:textId="77777777" w:rsidR="00561B4D" w:rsidRPr="00615AB3" w:rsidRDefault="00561B4D" w:rsidP="00373DF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615AB3">
              <w:rPr>
                <w:rFonts w:ascii="Garamond" w:hAnsi="Garamond"/>
                <w:color w:val="000000" w:themeColor="text1"/>
              </w:rPr>
              <w:t>Mandatory safeguarding training will be provided.</w:t>
            </w:r>
          </w:p>
          <w:p w14:paraId="6A7EB3E2" w14:textId="77777777" w:rsidR="00561B4D" w:rsidRPr="00615AB3" w:rsidRDefault="00561B4D" w:rsidP="00373DFA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14:paraId="2A4F34EE" w14:textId="35C90F0D" w:rsidR="00373DFA" w:rsidRDefault="00373DFA" w:rsidP="00373DFA">
            <w:pPr>
              <w:jc w:val="both"/>
              <w:rPr>
                <w:rFonts w:ascii="Garamond" w:hAnsi="Garamond"/>
                <w:color w:val="000000" w:themeColor="text1"/>
              </w:rPr>
            </w:pPr>
            <w:bookmarkStart w:id="0" w:name="_Hlk67995423"/>
            <w:r>
              <w:rPr>
                <w:rFonts w:ascii="Garamond" w:hAnsi="Garamond"/>
                <w:color w:val="000000" w:themeColor="text1"/>
              </w:rPr>
              <w:t>Chichester cathedral is a living church – applicants should be in close sympathy with our Christian mission.</w:t>
            </w:r>
          </w:p>
          <w:p w14:paraId="7D5344F4" w14:textId="77777777" w:rsidR="00373DFA" w:rsidRDefault="00373DFA" w:rsidP="00373DFA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bookmarkEnd w:id="0"/>
          <w:p w14:paraId="313D5FD4" w14:textId="77777777" w:rsidR="00F8782F" w:rsidRPr="00F8782F" w:rsidRDefault="00F8782F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14:paraId="53258E24" w14:textId="77777777" w:rsidTr="008419A9">
        <w:tc>
          <w:tcPr>
            <w:tcW w:w="534" w:type="dxa"/>
          </w:tcPr>
          <w:p w14:paraId="7409D624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  <w:r w:rsidRPr="00F22195">
              <w:rPr>
                <w:rFonts w:ascii="Garamond" w:hAnsi="Garamond" w:cs="Arial"/>
                <w:b/>
              </w:rPr>
              <w:t>6</w:t>
            </w:r>
          </w:p>
        </w:tc>
        <w:tc>
          <w:tcPr>
            <w:tcW w:w="8708" w:type="dxa"/>
          </w:tcPr>
          <w:p w14:paraId="3869144C" w14:textId="77777777" w:rsidR="008419A9" w:rsidRPr="00F22195" w:rsidRDefault="003E330A" w:rsidP="00373DFA">
            <w:pPr>
              <w:jc w:val="both"/>
              <w:rPr>
                <w:rFonts w:ascii="Garamond" w:hAnsi="Garamond" w:cs="Arial"/>
                <w:b/>
              </w:rPr>
            </w:pPr>
            <w:r w:rsidRPr="00F22195">
              <w:rPr>
                <w:rFonts w:ascii="Garamond" w:hAnsi="Garamond" w:cs="Arial"/>
                <w:b/>
              </w:rPr>
              <w:t xml:space="preserve">Qualifications, </w:t>
            </w:r>
            <w:r w:rsidR="008419A9" w:rsidRPr="00F22195">
              <w:rPr>
                <w:rFonts w:ascii="Garamond" w:hAnsi="Garamond" w:cs="Arial"/>
                <w:b/>
              </w:rPr>
              <w:t>Skills</w:t>
            </w:r>
            <w:r w:rsidR="0036571A" w:rsidRPr="00F22195">
              <w:rPr>
                <w:rFonts w:ascii="Garamond" w:hAnsi="Garamond" w:cs="Arial"/>
                <w:b/>
              </w:rPr>
              <w:t xml:space="preserve"> and Experience</w:t>
            </w:r>
          </w:p>
          <w:p w14:paraId="323C6CC5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14:paraId="25B11A77" w14:textId="77777777" w:rsidTr="008419A9">
        <w:tc>
          <w:tcPr>
            <w:tcW w:w="534" w:type="dxa"/>
          </w:tcPr>
          <w:p w14:paraId="62CAED58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1E0022E3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064710BF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6F5A1E4A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6F48F1D8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5C72DA23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3D27557E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2907A861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25D35068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36C05DFA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0CE22281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5A526ACE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26D846AA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521BBBD4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0D018637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0E86A96D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5F1E6BF9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2D212432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6B766BDA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250F678E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  <w:p w14:paraId="5B046C5B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8708" w:type="dxa"/>
          </w:tcPr>
          <w:p w14:paraId="7F641742" w14:textId="570FEB61" w:rsidR="00561B4D" w:rsidRDefault="00561B4D" w:rsidP="00373DFA">
            <w:p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Qualifications and Experience</w:t>
            </w:r>
          </w:p>
          <w:p w14:paraId="515CE61D" w14:textId="7D0B8EE9" w:rsidR="00561B4D" w:rsidRDefault="00373DFA" w:rsidP="00373DFA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ICAEW</w:t>
            </w:r>
            <w:r w:rsidR="00561B4D">
              <w:rPr>
                <w:rFonts w:ascii="Garamond" w:hAnsi="Garamond"/>
                <w:color w:val="000000"/>
              </w:rPr>
              <w:t xml:space="preserve">, ACCA or </w:t>
            </w:r>
            <w:r>
              <w:rPr>
                <w:rFonts w:ascii="Garamond" w:hAnsi="Garamond"/>
                <w:color w:val="000000"/>
              </w:rPr>
              <w:t>CI</w:t>
            </w:r>
            <w:r w:rsidR="00561B4D">
              <w:rPr>
                <w:rFonts w:ascii="Garamond" w:hAnsi="Garamond"/>
                <w:color w:val="000000"/>
              </w:rPr>
              <w:t>MA qualified</w:t>
            </w:r>
          </w:p>
          <w:p w14:paraId="0ECCFCD4" w14:textId="77777777" w:rsidR="00561B4D" w:rsidRDefault="00561B4D" w:rsidP="00373DFA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Previous experience as financial controller, head of finance or FD necessary</w:t>
            </w:r>
          </w:p>
          <w:p w14:paraId="690BFF65" w14:textId="6B99DDBA" w:rsidR="00561B4D" w:rsidRDefault="008B287C" w:rsidP="00373DFA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Third</w:t>
            </w:r>
            <w:r w:rsidR="00561B4D">
              <w:rPr>
                <w:rFonts w:ascii="Garamond" w:hAnsi="Garamond"/>
                <w:color w:val="000000"/>
              </w:rPr>
              <w:t xml:space="preserve"> sector or </w:t>
            </w:r>
            <w:r>
              <w:rPr>
                <w:rFonts w:ascii="Garamond" w:hAnsi="Garamond"/>
                <w:color w:val="000000"/>
              </w:rPr>
              <w:t>e</w:t>
            </w:r>
            <w:r w:rsidR="00561B4D">
              <w:rPr>
                <w:rFonts w:ascii="Garamond" w:hAnsi="Garamond"/>
                <w:color w:val="000000"/>
              </w:rPr>
              <w:t xml:space="preserve">cclesiastical accounting experience an advantage </w:t>
            </w:r>
          </w:p>
          <w:p w14:paraId="0C51B03E" w14:textId="77777777" w:rsidR="00561B4D" w:rsidRDefault="00561B4D" w:rsidP="00373DFA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Xero accounting systems knowledge a distinct advantage </w:t>
            </w:r>
          </w:p>
          <w:p w14:paraId="7F321B66" w14:textId="2B6E5952" w:rsidR="008B287C" w:rsidRDefault="00561B4D" w:rsidP="00373DFA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Other systems knowledge in Soldo prepaid cards and Approvalmax would be advantageous but not expected</w:t>
            </w:r>
          </w:p>
          <w:p w14:paraId="29B87F72" w14:textId="77777777" w:rsidR="008B287C" w:rsidRDefault="008B287C" w:rsidP="00373DFA">
            <w:p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  <w:p w14:paraId="34E2F93D" w14:textId="5D6D6B98" w:rsidR="00561B4D" w:rsidRDefault="00561B4D" w:rsidP="00373DFA">
            <w:p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  <w:r w:rsidR="008B287C">
              <w:rPr>
                <w:rFonts w:ascii="Garamond" w:hAnsi="Garamond"/>
                <w:color w:val="000000"/>
              </w:rPr>
              <w:t>Skills</w:t>
            </w:r>
          </w:p>
          <w:p w14:paraId="38FC8F0D" w14:textId="37C6A2FD" w:rsidR="008B287C" w:rsidRDefault="008B287C" w:rsidP="00373DFA">
            <w:pPr>
              <w:numPr>
                <w:ilvl w:val="0"/>
                <w:numId w:val="19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ability to combine strategic thinking and the ability to be hands on; </w:t>
            </w:r>
          </w:p>
          <w:p w14:paraId="5A678492" w14:textId="3153CAA8" w:rsidR="008B287C" w:rsidRDefault="008B287C" w:rsidP="00373DFA">
            <w:pPr>
              <w:numPr>
                <w:ilvl w:val="0"/>
                <w:numId w:val="19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excellent communication skills</w:t>
            </w:r>
            <w:r w:rsidR="004E2EB0">
              <w:rPr>
                <w:rFonts w:ascii="Garamond" w:hAnsi="Garamond"/>
                <w:color w:val="000000"/>
              </w:rPr>
              <w:t xml:space="preserve"> and the ability to communicate financial information effectively to non-financial audiences;</w:t>
            </w:r>
          </w:p>
          <w:p w14:paraId="5C863EC5" w14:textId="497FB011" w:rsidR="008B287C" w:rsidRDefault="008B287C" w:rsidP="00373DFA">
            <w:pPr>
              <w:numPr>
                <w:ilvl w:val="0"/>
                <w:numId w:val="19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a confident leader with the ability to inspire and motivate others to achieve their personal and organis</w:t>
            </w:r>
            <w:r w:rsidR="004E2EB0">
              <w:rPr>
                <w:rFonts w:ascii="Garamond" w:hAnsi="Garamond"/>
                <w:color w:val="000000"/>
              </w:rPr>
              <w:t>a</w:t>
            </w:r>
            <w:r>
              <w:rPr>
                <w:rFonts w:ascii="Garamond" w:hAnsi="Garamond"/>
                <w:color w:val="000000"/>
              </w:rPr>
              <w:t>tional goals;</w:t>
            </w:r>
          </w:p>
          <w:p w14:paraId="12D4B566" w14:textId="1CC383D5" w:rsidR="008B287C" w:rsidRPr="008B287C" w:rsidRDefault="008B287C" w:rsidP="00373DFA">
            <w:pPr>
              <w:numPr>
                <w:ilvl w:val="0"/>
                <w:numId w:val="19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8B287C">
              <w:rPr>
                <w:rFonts w:ascii="Garamond" w:hAnsi="Garamond"/>
                <w:color w:val="000000"/>
              </w:rPr>
              <w:t xml:space="preserve">flexible and proactive in </w:t>
            </w:r>
            <w:r>
              <w:rPr>
                <w:rFonts w:ascii="Garamond" w:hAnsi="Garamond"/>
                <w:color w:val="000000"/>
              </w:rPr>
              <w:t xml:space="preserve">identifying </w:t>
            </w:r>
            <w:r w:rsidRPr="008B287C">
              <w:rPr>
                <w:rFonts w:ascii="Garamond" w:hAnsi="Garamond"/>
                <w:color w:val="000000"/>
              </w:rPr>
              <w:t>solutions</w:t>
            </w:r>
            <w:r>
              <w:rPr>
                <w:rFonts w:ascii="Garamond" w:hAnsi="Garamond"/>
                <w:color w:val="000000"/>
              </w:rPr>
              <w:t>;</w:t>
            </w:r>
            <w:r w:rsidRPr="008B287C">
              <w:rPr>
                <w:rFonts w:ascii="Garamond" w:hAnsi="Garamond"/>
                <w:color w:val="000000"/>
              </w:rPr>
              <w:t xml:space="preserve"> </w:t>
            </w:r>
          </w:p>
          <w:p w14:paraId="053FBC30" w14:textId="1F190BD3" w:rsidR="008B287C" w:rsidRPr="006F06EB" w:rsidRDefault="008B287C" w:rsidP="00373DFA">
            <w:pPr>
              <w:numPr>
                <w:ilvl w:val="0"/>
                <w:numId w:val="19"/>
              </w:numPr>
              <w:spacing w:line="259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collaborative, diplomatic and able to work with </w:t>
            </w:r>
            <w:r w:rsidRPr="006F06EB">
              <w:rPr>
                <w:rFonts w:ascii="Garamond" w:hAnsi="Garamond"/>
                <w:color w:val="000000"/>
              </w:rPr>
              <w:t>a variety of stakeholders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  <w:p w14:paraId="5352529F" w14:textId="2A1F1772" w:rsidR="008B287C" w:rsidRPr="008B287C" w:rsidRDefault="004E2EB0" w:rsidP="00373DFA">
            <w:pPr>
              <w:numPr>
                <w:ilvl w:val="0"/>
                <w:numId w:val="19"/>
              </w:num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</w:t>
            </w:r>
            <w:r w:rsidR="008B287C" w:rsidRPr="006F06EB">
              <w:rPr>
                <w:rFonts w:ascii="Garamond" w:hAnsi="Garamond"/>
                <w:color w:val="000000"/>
              </w:rPr>
              <w:t>xcellent IT</w:t>
            </w:r>
            <w:r w:rsidR="008B287C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skills in particular Excel;</w:t>
            </w:r>
          </w:p>
          <w:p w14:paraId="18388BAF" w14:textId="1A47A3F9" w:rsidR="008B287C" w:rsidRPr="008B287C" w:rsidRDefault="004E2EB0" w:rsidP="00373DF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ability to take </w:t>
            </w:r>
            <w:r w:rsidR="008B287C" w:rsidRPr="008B287C">
              <w:rPr>
                <w:rFonts w:ascii="Garamond" w:hAnsi="Garamond"/>
                <w:color w:val="000000"/>
              </w:rPr>
              <w:t>responsibility, initiate and manage change</w:t>
            </w:r>
            <w:r>
              <w:rPr>
                <w:rFonts w:ascii="Garamond" w:hAnsi="Garamond"/>
                <w:color w:val="000000"/>
              </w:rPr>
              <w:t>.</w:t>
            </w:r>
          </w:p>
          <w:p w14:paraId="2C89D7F3" w14:textId="77777777" w:rsidR="008B287C" w:rsidRDefault="008B287C" w:rsidP="00373DFA">
            <w:pPr>
              <w:jc w:val="both"/>
              <w:rPr>
                <w:rFonts w:ascii="Garamond" w:hAnsi="Garamond"/>
                <w:color w:val="000000"/>
              </w:rPr>
            </w:pPr>
          </w:p>
          <w:p w14:paraId="7657E9CB" w14:textId="77777777" w:rsidR="008419A9" w:rsidRPr="00F22195" w:rsidRDefault="008419A9" w:rsidP="00373DFA">
            <w:pPr>
              <w:jc w:val="both"/>
              <w:rPr>
                <w:rFonts w:ascii="Garamond" w:hAnsi="Garamond" w:cs="Arial"/>
                <w:b/>
              </w:rPr>
            </w:pPr>
          </w:p>
        </w:tc>
      </w:tr>
    </w:tbl>
    <w:p w14:paraId="16511BAD" w14:textId="77777777" w:rsidR="008419A9" w:rsidRPr="008419A9" w:rsidRDefault="008419A9" w:rsidP="008419A9">
      <w:pPr>
        <w:rPr>
          <w:rFonts w:ascii="Arial" w:hAnsi="Arial" w:cs="Arial"/>
          <w:b/>
        </w:rPr>
      </w:pPr>
    </w:p>
    <w:sectPr w:rsidR="008419A9" w:rsidRPr="008419A9" w:rsidSect="0036571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5D81"/>
    <w:multiLevelType w:val="hybridMultilevel"/>
    <w:tmpl w:val="EE74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6A3"/>
    <w:multiLevelType w:val="multilevel"/>
    <w:tmpl w:val="E44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47DAF"/>
    <w:multiLevelType w:val="hybridMultilevel"/>
    <w:tmpl w:val="07FE10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BCB"/>
    <w:multiLevelType w:val="hybridMultilevel"/>
    <w:tmpl w:val="7A7A2E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A801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27E5"/>
    <w:multiLevelType w:val="hybridMultilevel"/>
    <w:tmpl w:val="556EE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742AA"/>
    <w:multiLevelType w:val="hybridMultilevel"/>
    <w:tmpl w:val="781A22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68F1"/>
    <w:multiLevelType w:val="multilevel"/>
    <w:tmpl w:val="684221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CD05CA"/>
    <w:multiLevelType w:val="hybridMultilevel"/>
    <w:tmpl w:val="97DC5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34A55"/>
    <w:multiLevelType w:val="hybridMultilevel"/>
    <w:tmpl w:val="BBF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0800"/>
    <w:multiLevelType w:val="hybridMultilevel"/>
    <w:tmpl w:val="53D802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2240A"/>
    <w:multiLevelType w:val="hybridMultilevel"/>
    <w:tmpl w:val="A94A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2512D"/>
    <w:multiLevelType w:val="hybridMultilevel"/>
    <w:tmpl w:val="0308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6F86"/>
    <w:multiLevelType w:val="hybridMultilevel"/>
    <w:tmpl w:val="7E34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53615"/>
    <w:multiLevelType w:val="hybridMultilevel"/>
    <w:tmpl w:val="F90CFD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E2698"/>
    <w:multiLevelType w:val="hybridMultilevel"/>
    <w:tmpl w:val="40B4C71C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9B92E7F"/>
    <w:multiLevelType w:val="hybridMultilevel"/>
    <w:tmpl w:val="E264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90859"/>
    <w:multiLevelType w:val="hybridMultilevel"/>
    <w:tmpl w:val="D7D236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  <w:num w:numId="17">
    <w:abstractNumId w:val="18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7"/>
    <w:rsid w:val="000A6902"/>
    <w:rsid w:val="000D4DF3"/>
    <w:rsid w:val="00165018"/>
    <w:rsid w:val="00167BC7"/>
    <w:rsid w:val="001D514B"/>
    <w:rsid w:val="00364FF0"/>
    <w:rsid w:val="0036571A"/>
    <w:rsid w:val="00371FF1"/>
    <w:rsid w:val="00373DFA"/>
    <w:rsid w:val="003E330A"/>
    <w:rsid w:val="004E2EB0"/>
    <w:rsid w:val="00546191"/>
    <w:rsid w:val="00561B4D"/>
    <w:rsid w:val="00563E3F"/>
    <w:rsid w:val="00606903"/>
    <w:rsid w:val="00632460"/>
    <w:rsid w:val="007836BB"/>
    <w:rsid w:val="00822768"/>
    <w:rsid w:val="00824F6C"/>
    <w:rsid w:val="008419A9"/>
    <w:rsid w:val="008421E3"/>
    <w:rsid w:val="008B287C"/>
    <w:rsid w:val="0096265C"/>
    <w:rsid w:val="009741BE"/>
    <w:rsid w:val="009E3736"/>
    <w:rsid w:val="00A300CC"/>
    <w:rsid w:val="00AB761B"/>
    <w:rsid w:val="00B31CCF"/>
    <w:rsid w:val="00BE3A07"/>
    <w:rsid w:val="00D0613C"/>
    <w:rsid w:val="00D516CF"/>
    <w:rsid w:val="00DE094B"/>
    <w:rsid w:val="00DF6040"/>
    <w:rsid w:val="00F22195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05E1"/>
  <w15:docId w15:val="{59515201-C344-42F6-9070-C7738302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19A9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9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21E3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rsid w:val="00606903"/>
    <w:pPr>
      <w:tabs>
        <w:tab w:val="center" w:pos="4153"/>
        <w:tab w:val="right" w:pos="8306"/>
      </w:tabs>
      <w:jc w:val="both"/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0690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1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B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B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1B4D"/>
    <w:pPr>
      <w:spacing w:after="120"/>
      <w:jc w:val="both"/>
    </w:pPr>
    <w:rPr>
      <w:rFonts w:asciiTheme="minorHAnsi" w:hAnsiTheme="minorHAnsi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1B4D"/>
    <w:rPr>
      <w:rFonts w:eastAsia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02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Timlin</dc:creator>
  <cp:lastModifiedBy>Val Timlin</cp:lastModifiedBy>
  <cp:revision>2</cp:revision>
  <dcterms:created xsi:type="dcterms:W3CDTF">2021-03-30T14:57:00Z</dcterms:created>
  <dcterms:modified xsi:type="dcterms:W3CDTF">2021-03-30T14:57:00Z</dcterms:modified>
</cp:coreProperties>
</file>